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65DA" w14:textId="77777777" w:rsidR="002C21FC" w:rsidRDefault="002C21FC" w:rsidP="002C21FC">
      <w:pPr>
        <w:spacing w:before="360" w:after="360" w:line="312" w:lineRule="auto"/>
        <w:ind w:left="720"/>
        <w:rPr>
          <w:iCs/>
          <w:color w:val="265898" w:themeColor="text2" w:themeTint="E6"/>
          <w:sz w:val="56"/>
          <w:szCs w:val="56"/>
          <w:u w:val="single"/>
          <w:lang w:eastAsia="ja-JP" w:bidi="it-IT"/>
        </w:rPr>
      </w:pPr>
      <w:r>
        <w:rPr>
          <w:iCs/>
          <w:color w:val="265898" w:themeColor="text2" w:themeTint="E6"/>
          <w:sz w:val="56"/>
          <w:szCs w:val="56"/>
          <w:u w:val="single"/>
          <w:lang w:eastAsia="ja-JP" w:bidi="it-IT"/>
        </w:rPr>
        <w:t xml:space="preserve">Bibliografia essenziale </w:t>
      </w:r>
    </w:p>
    <w:p w14:paraId="22265A4D" w14:textId="77777777" w:rsidR="002C21FC" w:rsidRDefault="002C21FC" w:rsidP="002C21FC">
      <w:pPr>
        <w:spacing w:before="360" w:after="360" w:line="312" w:lineRule="auto"/>
        <w:ind w:left="720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Alcuni testi per approfondire:</w:t>
      </w:r>
    </w:p>
    <w:p w14:paraId="34630A6C" w14:textId="77777777" w:rsidR="002C21FC" w:rsidRDefault="002C21FC" w:rsidP="002C21FC">
      <w:pPr>
        <w:pStyle w:val="Paragrafoelenco"/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 xml:space="preserve">Roberto </w:t>
      </w:r>
      <w:proofErr w:type="spellStart"/>
      <w:r>
        <w:rPr>
          <w:iCs/>
          <w:color w:val="265898" w:themeColor="text2" w:themeTint="E6"/>
          <w:sz w:val="28"/>
          <w:lang w:eastAsia="ja-JP" w:bidi="it-IT"/>
        </w:rPr>
        <w:t>Focchiatti</w:t>
      </w:r>
      <w:proofErr w:type="spellEnd"/>
      <w:r>
        <w:rPr>
          <w:iCs/>
          <w:color w:val="265898" w:themeColor="text2" w:themeTint="E6"/>
          <w:sz w:val="28"/>
          <w:lang w:eastAsia="ja-JP" w:bidi="it-IT"/>
        </w:rPr>
        <w:t xml:space="preserve"> (a </w:t>
      </w:r>
      <w:proofErr w:type="gramStart"/>
      <w:r>
        <w:rPr>
          <w:iCs/>
          <w:color w:val="265898" w:themeColor="text2" w:themeTint="E6"/>
          <w:sz w:val="28"/>
          <w:lang w:eastAsia="ja-JP" w:bidi="it-IT"/>
        </w:rPr>
        <w:t>cura )</w:t>
      </w:r>
      <w:proofErr w:type="gramEnd"/>
      <w:r>
        <w:rPr>
          <w:iCs/>
          <w:color w:val="265898" w:themeColor="text2" w:themeTint="E6"/>
          <w:sz w:val="28"/>
          <w:lang w:eastAsia="ja-JP" w:bidi="it-IT"/>
        </w:rPr>
        <w:t xml:space="preserve"> Orientare e orientarsi nella scuola primaria e secondaria -Carocci </w:t>
      </w:r>
    </w:p>
    <w:p w14:paraId="5693B1E4" w14:textId="77777777" w:rsidR="002C21FC" w:rsidRDefault="002C21FC" w:rsidP="002C21FC">
      <w:pPr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 xml:space="preserve">Federico </w:t>
      </w:r>
      <w:proofErr w:type="spellStart"/>
      <w:r>
        <w:rPr>
          <w:iCs/>
          <w:color w:val="265898" w:themeColor="text2" w:themeTint="E6"/>
          <w:sz w:val="28"/>
          <w:lang w:eastAsia="ja-JP" w:bidi="it-IT"/>
        </w:rPr>
        <w:t>Batini</w:t>
      </w:r>
      <w:proofErr w:type="spellEnd"/>
      <w:r>
        <w:rPr>
          <w:iCs/>
          <w:color w:val="265898" w:themeColor="text2" w:themeTint="E6"/>
          <w:sz w:val="28"/>
          <w:lang w:eastAsia="ja-JP" w:bidi="it-IT"/>
        </w:rPr>
        <w:t xml:space="preserve"> e Nicola Giaconi. Orientamento informativo-Erickson</w:t>
      </w:r>
    </w:p>
    <w:p w14:paraId="7B1C5DCD" w14:textId="77777777" w:rsidR="002C21FC" w:rsidRDefault="002C21FC" w:rsidP="002C21FC">
      <w:pPr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 xml:space="preserve">Federico </w:t>
      </w:r>
      <w:proofErr w:type="spellStart"/>
      <w:r>
        <w:rPr>
          <w:iCs/>
          <w:color w:val="265898" w:themeColor="text2" w:themeTint="E6"/>
          <w:sz w:val="28"/>
          <w:lang w:eastAsia="ja-JP" w:bidi="it-IT"/>
        </w:rPr>
        <w:t>Batini</w:t>
      </w:r>
      <w:proofErr w:type="spellEnd"/>
      <w:r>
        <w:rPr>
          <w:iCs/>
          <w:color w:val="265898" w:themeColor="text2" w:themeTint="E6"/>
          <w:sz w:val="28"/>
          <w:lang w:eastAsia="ja-JP" w:bidi="it-IT"/>
        </w:rPr>
        <w:t xml:space="preserve"> e Simone Giusti- L’orientamento narrativo a scuola-Erickson</w:t>
      </w:r>
    </w:p>
    <w:p w14:paraId="0A4789D9" w14:textId="77777777" w:rsidR="002C21FC" w:rsidRDefault="002C21FC" w:rsidP="002C21FC">
      <w:pPr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 xml:space="preserve">Federico </w:t>
      </w:r>
      <w:proofErr w:type="spellStart"/>
      <w:r>
        <w:rPr>
          <w:iCs/>
          <w:color w:val="265898" w:themeColor="text2" w:themeTint="E6"/>
          <w:sz w:val="28"/>
          <w:lang w:eastAsia="ja-JP" w:bidi="it-IT"/>
        </w:rPr>
        <w:t>Batini</w:t>
      </w:r>
      <w:proofErr w:type="spellEnd"/>
      <w:r>
        <w:rPr>
          <w:iCs/>
          <w:color w:val="265898" w:themeColor="text2" w:themeTint="E6"/>
          <w:sz w:val="28"/>
          <w:lang w:eastAsia="ja-JP" w:bidi="it-IT"/>
        </w:rPr>
        <w:t>-Manuale per orientatori. Metodi e scenari per l’</w:t>
      </w:r>
      <w:proofErr w:type="spellStart"/>
      <w:r>
        <w:rPr>
          <w:iCs/>
          <w:color w:val="265898" w:themeColor="text2" w:themeTint="E6"/>
          <w:sz w:val="28"/>
          <w:lang w:eastAsia="ja-JP" w:bidi="it-IT"/>
        </w:rPr>
        <w:t>empowerement</w:t>
      </w:r>
      <w:proofErr w:type="spellEnd"/>
      <w:r>
        <w:rPr>
          <w:iCs/>
          <w:color w:val="265898" w:themeColor="text2" w:themeTint="E6"/>
          <w:sz w:val="28"/>
          <w:lang w:eastAsia="ja-JP" w:bidi="it-IT"/>
        </w:rPr>
        <w:t xml:space="preserve"> personale e professionale -Erickson</w:t>
      </w:r>
    </w:p>
    <w:p w14:paraId="757FED6C" w14:textId="77777777" w:rsidR="002C21FC" w:rsidRDefault="002C21FC" w:rsidP="002C21FC">
      <w:pPr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Santo di Nuovo e Paola Magnano-Competenze trasversali e scelte formative-Erickson</w:t>
      </w:r>
    </w:p>
    <w:p w14:paraId="47C42CCA" w14:textId="77777777" w:rsidR="002C21FC" w:rsidRDefault="002C21FC" w:rsidP="002C21FC">
      <w:pPr>
        <w:numPr>
          <w:ilvl w:val="0"/>
          <w:numId w:val="1"/>
        </w:num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 xml:space="preserve">Guida alla scelta della Scuola Secondaria di 2 grado </w:t>
      </w:r>
      <w:proofErr w:type="gramStart"/>
      <w:r>
        <w:rPr>
          <w:iCs/>
          <w:color w:val="265898" w:themeColor="text2" w:themeTint="E6"/>
          <w:sz w:val="28"/>
          <w:lang w:eastAsia="ja-JP" w:bidi="it-IT"/>
        </w:rPr>
        <w:t>( manuale</w:t>
      </w:r>
      <w:proofErr w:type="gramEnd"/>
      <w:r>
        <w:rPr>
          <w:iCs/>
          <w:color w:val="265898" w:themeColor="text2" w:themeTint="E6"/>
          <w:sz w:val="28"/>
          <w:lang w:eastAsia="ja-JP" w:bidi="it-IT"/>
        </w:rPr>
        <w:t xml:space="preserve"> di illustrazione dell’offerta formativa scuola secondaria di 2 grado della Provincia di Reggio Emilia) in </w:t>
      </w:r>
      <w:hyperlink r:id="rId5" w:history="1">
        <w:r>
          <w:rPr>
            <w:rStyle w:val="Collegamentoipertestuale"/>
            <w:iCs/>
            <w:sz w:val="28"/>
            <w:lang w:eastAsia="ja-JP" w:bidi="it-IT"/>
          </w:rPr>
          <w:t>http://www.provincia.re.it/default.asp</w:t>
        </w:r>
      </w:hyperlink>
      <w:r>
        <w:rPr>
          <w:iCs/>
          <w:color w:val="265898" w:themeColor="text2" w:themeTint="E6"/>
          <w:sz w:val="28"/>
          <w:lang w:eastAsia="ja-JP" w:bidi="it-IT"/>
        </w:rPr>
        <w:t xml:space="preserve">  scuola e diritto allo studio-servizi per l’orientamento.</w:t>
      </w:r>
    </w:p>
    <w:p w14:paraId="4BF7123B" w14:textId="77777777" w:rsidR="002C21FC" w:rsidRDefault="002C21FC" w:rsidP="002C21FC">
      <w:pPr>
        <w:spacing w:before="360" w:after="360" w:line="312" w:lineRule="auto"/>
        <w:ind w:left="720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Alcune letture sull’argomento:</w:t>
      </w:r>
    </w:p>
    <w:p w14:paraId="60833AE5" w14:textId="77777777" w:rsidR="002C21FC" w:rsidRDefault="002C21FC" w:rsidP="002C21FC">
      <w:p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Umberto Galimberti- L’ospite inquietante-Feltrinelli 2007</w:t>
      </w:r>
    </w:p>
    <w:p w14:paraId="25775EC0" w14:textId="77777777" w:rsidR="002C21FC" w:rsidRDefault="002C21FC" w:rsidP="002C21FC">
      <w:p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Massimo Recalcati- l’ora di lezione- Einaudi 2014</w:t>
      </w:r>
    </w:p>
    <w:p w14:paraId="6F7AB361" w14:textId="77777777" w:rsidR="002C21FC" w:rsidRDefault="002C21FC" w:rsidP="002C21FC">
      <w:p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Vanna Iori -Essere per l’educazione-La Nuova Italia 2000</w:t>
      </w:r>
    </w:p>
    <w:p w14:paraId="514082F4" w14:textId="77777777" w:rsidR="002C21FC" w:rsidRDefault="002C21FC" w:rsidP="002C21FC">
      <w:pPr>
        <w:spacing w:before="360" w:after="360" w:line="312" w:lineRule="auto"/>
        <w:rPr>
          <w:iCs/>
          <w:color w:val="265898" w:themeColor="text2" w:themeTint="E6"/>
          <w:sz w:val="28"/>
          <w:lang w:eastAsia="ja-JP" w:bidi="it-IT"/>
        </w:rPr>
      </w:pPr>
      <w:r>
        <w:rPr>
          <w:iCs/>
          <w:color w:val="265898" w:themeColor="text2" w:themeTint="E6"/>
          <w:sz w:val="28"/>
          <w:lang w:eastAsia="ja-JP" w:bidi="it-IT"/>
        </w:rPr>
        <w:t>Ivano Dionigi – Segui il tuo demone-Laterza 2020</w:t>
      </w:r>
    </w:p>
    <w:p w14:paraId="3B8B485B" w14:textId="77777777" w:rsidR="001D3DEF" w:rsidRDefault="001D3DEF"/>
    <w:sectPr w:rsidR="001D3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3676"/>
    <w:multiLevelType w:val="hybridMultilevel"/>
    <w:tmpl w:val="58563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1FC"/>
    <w:rsid w:val="001D3DEF"/>
    <w:rsid w:val="002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8D73"/>
  <w15:chartTrackingRefBased/>
  <w15:docId w15:val="{5CF64805-E471-4695-8F6F-3A8AFF1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1FC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21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vincia.re.it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Marco Poli</dc:creator>
  <cp:keywords/>
  <dc:description/>
  <cp:lastModifiedBy>Ing. Marco Poli</cp:lastModifiedBy>
  <cp:revision>1</cp:revision>
  <dcterms:created xsi:type="dcterms:W3CDTF">2021-04-18T19:59:00Z</dcterms:created>
  <dcterms:modified xsi:type="dcterms:W3CDTF">2021-04-18T20:00:00Z</dcterms:modified>
</cp:coreProperties>
</file>